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B85C28"/>
          <w:sz w:val="19"/>
        </w:rPr>
        <w:t>MODIFIABLE REQUEST FOR PROPOSALS (RFP) TEMPLATE  |  VNA-RFP-013</w:t>
      </w:r>
    </w:p>
    <w:p>
      <w:pPr>
        <w:pStyle w:val="Heading1"/>
      </w:pPr>
      <w:r>
        <w:rPr>
          <w:color w:val="281F16"/>
        </w:rPr>
        <w:t>Request for Proposals (RFP): Zero-Downtime Oracle Database Migration with GoldenGate 23ai &amp; Quest SharePlex</w:t>
      </w:r>
    </w:p>
    <w:p>
      <w:r>
        <w:rPr>
          <w:sz w:val="20"/>
        </w:rPr>
        <w:t>Instructions for RFP Author: This editable Microsoft Word (.docx) document is structured so your IT, Architecture, and Procurement teams can issue a competitive, apples-to-apples Request for Proposals. Replace all bracketed placeholders ([...]) below with your organization's dates, contacts, and inventory counts.</w:t>
      </w:r>
    </w:p>
    <w:p>
      <w:pPr>
        <w:pStyle w:val="Heading2"/>
      </w:pPr>
      <w:r>
        <w:rPr>
          <w:color w:val="B85C28"/>
        </w:rPr>
        <w:t>Section 1: Issuing Organization Profile &amp; Procurement Schedule (Editable)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  <w:shd w:val="clear" w:color="auto" w:fill="2D2218"/>
          </w:tcPr>
          <w:p>
            <w:r>
              <w:rPr>
                <w:b/>
                <w:color w:val="FFFFFF"/>
                <w:sz w:val="19"/>
              </w:rPr>
              <w:t>Procurement Milestone / Field</w:t>
            </w:r>
          </w:p>
        </w:tc>
        <w:tc>
          <w:tcPr>
            <w:tcW w:type="dxa" w:w="5040"/>
            <w:shd w:val="clear" w:color="auto" w:fill="2D2218"/>
          </w:tcPr>
          <w:p>
            <w:r>
              <w:rPr>
                <w:b/>
                <w:color w:val="FFFFFF"/>
                <w:sz w:val="19"/>
              </w:rPr>
              <w:t>Target Date / Entry (Editable)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Issuing Organization Name</w:t>
            </w:r>
          </w:p>
        </w:tc>
        <w:tc>
          <w:tcPr>
            <w:tcW w:type="dxa" w:w="5040"/>
          </w:tcPr>
          <w:p>
            <w:r>
              <w:t>[Insert Legal Entity / Company Name]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Executive Sponsor &amp; Procurement Contact</w:t>
            </w:r>
          </w:p>
        </w:tc>
        <w:tc>
          <w:tcPr>
            <w:tcW w:type="dxa" w:w="5040"/>
          </w:tcPr>
          <w:p>
            <w:r>
              <w:t>[Insert Name, Title, Work Email &amp; Phone]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RFP Reference Code</w:t>
            </w:r>
          </w:p>
        </w:tc>
        <w:tc>
          <w:tcPr>
            <w:tcW w:type="dxa" w:w="5040"/>
          </w:tcPr>
          <w:p>
            <w:r>
              <w:t>VNA-RFP-013 (Companion to Solution Brief VNA-SB-013)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RFP Issue Date</w:t>
            </w:r>
          </w:p>
        </w:tc>
        <w:tc>
          <w:tcPr>
            <w:tcW w:type="dxa" w:w="5040"/>
          </w:tcPr>
          <w:p>
            <w:r>
              <w:t>[2026-10-27]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Vendor Written Questions Due</w:t>
            </w:r>
          </w:p>
        </w:tc>
        <w:tc>
          <w:tcPr>
            <w:tcW w:type="dxa" w:w="5040"/>
          </w:tcPr>
          <w:p>
            <w:r>
              <w:t>[Insert Date - Week 2]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Organization Responses to Vendor Q&amp;A</w:t>
            </w:r>
          </w:p>
        </w:tc>
        <w:tc>
          <w:tcPr>
            <w:tcW w:type="dxa" w:w="5040"/>
          </w:tcPr>
          <w:p>
            <w:r>
              <w:t>[Insert Date - Week 3]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Final Vendor Proposals &amp; Fixed-Fee Pricing Due</w:t>
            </w:r>
          </w:p>
        </w:tc>
        <w:tc>
          <w:tcPr>
            <w:tcW w:type="dxa" w:w="5040"/>
          </w:tcPr>
          <w:p>
            <w:r>
              <w:t>[Insert Date - Week 4]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Technical Architecture Demos / Oral Presentations</w:t>
            </w:r>
          </w:p>
        </w:tc>
        <w:tc>
          <w:tcPr>
            <w:tcW w:type="dxa" w:w="5040"/>
          </w:tcPr>
          <w:p>
            <w:r>
              <w:t>[Insert Date - Week 5]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Target Contract Award &amp; Phase 0 Kickoff</w:t>
            </w:r>
          </w:p>
        </w:tc>
        <w:tc>
          <w:tcPr>
            <w:tcW w:type="dxa" w:w="5040"/>
          </w:tcPr>
          <w:p>
            <w:r>
              <w:t>[Insert Date - Week 6]</w:t>
            </w:r>
          </w:p>
        </w:tc>
      </w:tr>
    </w:tbl>
    <w:p>
      <w:r>
        <w:t>[INSERT COMPANY NAME] ('Organization') is soliciting competitive proposals from qualified enterprise architecture and engineering partners to modernize and transition our current Oracle 11g / 12c / 19c, SQL Server, DB2 &amp; MySQL On-Premises environment to OCI GoldenGate 23ai Microservices, Quest SharePlex &amp; Active-Active Cloud.</w:t>
      </w:r>
    </w:p>
    <w:p>
      <w:pPr>
        <w:pStyle w:val="ListBullet"/>
      </w:pPr>
      <w:r>
        <w:t>Upgrading multi-terabyte Oracle 11g/12c databases to 19c/23ai or moving across operating systems (Solaris/AIX to Linux) via traditional export/import or RMAN restore requires hours of application downtime.</w:t>
      </w:r>
    </w:p>
    <w:p>
      <w:pPr>
        <w:pStyle w:val="ListBullet"/>
      </w:pPr>
      <w:r>
        <w:t>Classic GoldenGate command-line (`ggsci`) deployments suffer from complex pump-trail management, firewall port sprawl, and undetected row divergence when DDL changes occur mid-flight.</w:t>
      </w:r>
    </w:p>
    <w:p>
      <w:pPr>
        <w:pStyle w:val="ListBullet"/>
      </w:pPr>
      <w:r>
        <w:t>Teams paying for full Oracle GoldenGate licenses solely for Oracle-to-Oracle Standby/Reporting replication are often unaware that Quest SharePlex can deliver identical log-based replication at a fraction of the annual maintenance cost.</w:t>
      </w:r>
    </w:p>
    <w:p>
      <w:pPr>
        <w:pStyle w:val="Heading2"/>
      </w:pPr>
      <w:r>
        <w:rPr>
          <w:color w:val="B85C28"/>
        </w:rPr>
        <w:t>Section 2: Current Environment Baseline Inventory (Editable)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c>
          <w:tcPr>
            <w:tcW w:type="dxa" w:w="3360"/>
            <w:shd w:val="clear" w:color="auto" w:fill="B85C28"/>
          </w:tcPr>
          <w:p>
            <w:r>
              <w:rPr>
                <w:b/>
                <w:color w:val="FFFFFF"/>
                <w:sz w:val="19"/>
              </w:rPr>
              <w:t>Inventory Dimension</w:t>
            </w:r>
          </w:p>
        </w:tc>
        <w:tc>
          <w:tcPr>
            <w:tcW w:type="dxa" w:w="3360"/>
            <w:shd w:val="clear" w:color="auto" w:fill="B85C28"/>
          </w:tcPr>
          <w:p>
            <w:r>
              <w:rPr>
                <w:b/>
                <w:color w:val="FFFFFF"/>
                <w:sz w:val="19"/>
              </w:rPr>
              <w:t>Current Baseline Footprint (Editable)</w:t>
            </w:r>
          </w:p>
        </w:tc>
        <w:tc>
          <w:tcPr>
            <w:tcW w:type="dxa" w:w="3360"/>
            <w:shd w:val="clear" w:color="auto" w:fill="B85C28"/>
          </w:tcPr>
          <w:p>
            <w:r>
              <w:rPr>
                <w:b/>
                <w:color w:val="FFFFFF"/>
                <w:sz w:val="19"/>
              </w:rPr>
              <w:t>Target Modernization SLA / Objective</w:t>
            </w:r>
          </w:p>
        </w:tc>
      </w:tr>
      <w:tr>
        <w:tc>
          <w:tcPr>
            <w:tcW w:type="dxa" w:w="3360"/>
          </w:tcPr>
          <w:p>
            <w:r>
              <w:rPr>
                <w:b/>
              </w:rPr>
              <w:t>Legacy Source Stack (Stack X)</w:t>
            </w:r>
          </w:p>
        </w:tc>
        <w:tc>
          <w:tcPr>
            <w:tcW w:type="dxa" w:w="3360"/>
          </w:tcPr>
          <w:p>
            <w:r>
              <w:t>Oracle 11g / 12c / 19c, SQL Server, DB2 &amp; MySQL On-Premises</w:t>
            </w:r>
          </w:p>
        </w:tc>
        <w:tc>
          <w:tcPr>
            <w:tcW w:type="dxa" w:w="3360"/>
          </w:tcPr>
          <w:p>
            <w:r>
              <w:t>Full retirement / modernization</w:t>
            </w:r>
          </w:p>
        </w:tc>
      </w:tr>
      <w:tr>
        <w:tc>
          <w:tcPr>
            <w:tcW w:type="dxa" w:w="3360"/>
          </w:tcPr>
          <w:p>
            <w:r>
              <w:rPr>
                <w:b/>
              </w:rPr>
              <w:t>Target Architecture (Stack Y)</w:t>
            </w:r>
          </w:p>
        </w:tc>
        <w:tc>
          <w:tcPr>
            <w:tcW w:type="dxa" w:w="3360"/>
          </w:tcPr>
          <w:p>
            <w:r>
              <w:t>OCI GoldenGate 23ai Microservices, Quest SharePlex &amp; Active-Active Cloud</w:t>
            </w:r>
          </w:p>
        </w:tc>
        <w:tc>
          <w:tcPr>
            <w:tcW w:type="dxa" w:w="3360"/>
          </w:tcPr>
          <w:p>
            <w:r>
              <w:t>Production HA/DR &amp; security governance</w:t>
            </w:r>
          </w:p>
        </w:tc>
      </w:tr>
      <w:tr>
        <w:tc>
          <w:tcPr>
            <w:tcW w:type="dxa" w:w="3360"/>
          </w:tcPr>
          <w:p>
            <w:r>
              <w:rPr>
                <w:b/>
              </w:rPr>
              <w:t>Source Database Size (TB)</w:t>
            </w:r>
          </w:p>
        </w:tc>
        <w:tc>
          <w:tcPr>
            <w:tcW w:type="dxa" w:w="3360"/>
          </w:tcPr>
          <w:p>
            <w:r>
              <w:t>[Insert Count, e.g., 18 TB]</w:t>
            </w:r>
          </w:p>
        </w:tc>
        <w:tc>
          <w:tcPr>
            <w:tcW w:type="dxa" w:w="3360"/>
          </w:tcPr>
          <w:p>
            <w:r>
              <w:t>100% functional parity &amp; optimization</w:t>
            </w:r>
          </w:p>
        </w:tc>
      </w:tr>
      <w:tr>
        <w:tc>
          <w:tcPr>
            <w:tcW w:type="dxa" w:w="3360"/>
          </w:tcPr>
          <w:p>
            <w:r>
              <w:rPr>
                <w:b/>
              </w:rPr>
              <w:t>Peak Redo Log Generation Rate (GB/hr)</w:t>
            </w:r>
          </w:p>
        </w:tc>
        <w:tc>
          <w:tcPr>
            <w:tcW w:type="dxa" w:w="3360"/>
          </w:tcPr>
          <w:p>
            <w:r>
              <w:t>[Insert Count, e.g., 60 GB/hr]</w:t>
            </w:r>
          </w:p>
        </w:tc>
        <w:tc>
          <w:tcPr>
            <w:tcW w:type="dxa" w:w="3360"/>
          </w:tcPr>
          <w:p>
            <w:r>
              <w:t>Automated AST &amp; schema uplift</w:t>
            </w:r>
          </w:p>
        </w:tc>
      </w:tr>
      <w:tr>
        <w:tc>
          <w:tcPr>
            <w:tcW w:type="dxa" w:w="3360"/>
          </w:tcPr>
          <w:p>
            <w:r>
              <w:rPr>
                <w:b/>
              </w:rPr>
              <w:t>Target Cutover Downtime Window</w:t>
            </w:r>
          </w:p>
        </w:tc>
        <w:tc>
          <w:tcPr>
            <w:tcW w:type="dxa" w:w="3360"/>
          </w:tcPr>
          <w:p>
            <w:r>
              <w:t>[e.g., &lt; 15 Minutes / Near-Zero Downtime]</w:t>
            </w:r>
          </w:p>
        </w:tc>
        <w:tc>
          <w:tcPr>
            <w:tcW w:type="dxa" w:w="3360"/>
          </w:tcPr>
          <w:p>
            <w:r>
              <w:t>Rehearsed parallel run + rollback plan</w:t>
            </w:r>
          </w:p>
        </w:tc>
      </w:tr>
      <w:tr>
        <w:tc>
          <w:tcPr>
            <w:tcW w:type="dxa" w:w="3360"/>
          </w:tcPr>
          <w:p>
            <w:r>
              <w:rPr>
                <w:b/>
              </w:rPr>
              <w:t>Security, Compliance &amp; Identity</w:t>
            </w:r>
          </w:p>
        </w:tc>
        <w:tc>
          <w:tcPr>
            <w:tcW w:type="dxa" w:w="3360"/>
          </w:tcPr>
          <w:p>
            <w:r>
              <w:t>[e.g., SSO/MFA via Entra ID / Okta, Row-Level VPD]</w:t>
            </w:r>
          </w:p>
        </w:tc>
        <w:tc>
          <w:tcPr>
            <w:tcW w:type="dxa" w:w="3360"/>
          </w:tcPr>
          <w:p>
            <w:r>
              <w:t>Zero critical/high CVEs at Go-Live</w:t>
            </w:r>
          </w:p>
        </w:tc>
      </w:tr>
    </w:tbl>
    <w:p>
      <w:pPr>
        <w:pStyle w:val="Heading2"/>
      </w:pPr>
      <w:r>
        <w:rPr>
          <w:color w:val="B85C28"/>
        </w:rPr>
        <w:t>Section 3: Mandatory Technical Scope of Work &amp; Conversion Matrix</w:t>
      </w:r>
    </w:p>
    <w:p>
      <w:pPr>
        <w:pStyle w:val="ListNumber"/>
      </w:pPr>
      <w:r>
        <w:rPr>
          <w:b/>
        </w:rPr>
        <w:t xml:space="preserve">[REQ-ARCH-01] </w:t>
      </w:r>
      <w:r>
        <w:t>OCI GoldenGate 23ai Microservices &amp; Hub Architecture: We deploy hub-and-spoke REST-managed GoldenGate Microservices (`ServiceManager`, `AdminServer`, `DistributionServer`, `ReceiverServer`) over TLS 1.3 with zero agent installation required on source database hosts.</w:t>
      </w:r>
    </w:p>
    <w:p>
      <w:pPr>
        <w:pStyle w:val="ListNumber"/>
      </w:pPr>
      <w:r>
        <w:rPr>
          <w:b/>
        </w:rPr>
        <w:t xml:space="preserve">[REQ-ARCH-02] </w:t>
      </w:r>
      <w:r>
        <w:t>Bi-Directional Active-Active &amp; Instant Rollback Cutover: During cutover, we reverse replication (`Replicat` -&gt; `Extract`) from the new 23ai database back to the legacy 11g/12c/19c source so that if any application anomaly occurs during the first 72 hours, traffic can switch back with zero data loss.</w:t>
      </w:r>
    </w:p>
    <w:p>
      <w:pPr>
        <w:pStyle w:val="ListNumber"/>
      </w:pPr>
      <w:r>
        <w:rPr>
          <w:b/>
        </w:rPr>
        <w:t xml:space="preserve">[REQ-ARCH-03] </w:t>
      </w:r>
      <w:r>
        <w:t>Automated Row-Level Veridata / Checksum Reconciliation: Continuous in-flight data comparison validates 100% row and LOB parity between source and target tables while users remain online.</w:t>
      </w:r>
    </w:p>
    <w:p>
      <w:pPr>
        <w:pStyle w:val="ListNumber"/>
      </w:pPr>
      <w:r>
        <w:rPr>
          <w:b/>
        </w:rPr>
        <w:t xml:space="preserve">[REQ-ARCH-04] </w:t>
      </w:r>
      <w:r>
        <w:t>SharePlex License Cost Optimization: For organizations seeking to reduce GoldenGate support renewals on Oracle-to-Oracle or Oracle-to-Postgres pipelines, our certified SharePlex practice executes seamless replication replacements.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c>
          <w:tcPr>
            <w:tcW w:type="dxa" w:w="2520"/>
            <w:shd w:val="clear" w:color="auto" w:fill="2D2218"/>
          </w:tcPr>
          <w:p>
            <w:r>
              <w:rPr>
                <w:b/>
                <w:color w:val="FFFFFF"/>
                <w:sz w:val="19"/>
              </w:rPr>
              <w:t>Req ID</w:t>
            </w:r>
          </w:p>
        </w:tc>
        <w:tc>
          <w:tcPr>
            <w:tcW w:type="dxa" w:w="2520"/>
            <w:shd w:val="clear" w:color="auto" w:fill="2D2218"/>
          </w:tcPr>
          <w:p>
            <w:r>
              <w:rPr>
                <w:b/>
                <w:color w:val="FFFFFF"/>
                <w:sz w:val="19"/>
              </w:rPr>
              <w:t>Legacy Artifact / Baseline Workload</w:t>
            </w:r>
          </w:p>
        </w:tc>
        <w:tc>
          <w:tcPr>
            <w:tcW w:type="dxa" w:w="2520"/>
            <w:shd w:val="clear" w:color="auto" w:fill="2D2218"/>
          </w:tcPr>
          <w:p>
            <w:r>
              <w:rPr>
                <w:b/>
                <w:color w:val="FFFFFF"/>
                <w:sz w:val="19"/>
              </w:rPr>
              <w:t>Required Target Architecture</w:t>
            </w:r>
          </w:p>
        </w:tc>
        <w:tc>
          <w:tcPr>
            <w:tcW w:type="dxa" w:w="2520"/>
            <w:shd w:val="clear" w:color="auto" w:fill="2D2218"/>
          </w:tcPr>
          <w:p>
            <w:r>
              <w:rPr>
                <w:b/>
                <w:color w:val="FFFFFF"/>
                <w:sz w:val="19"/>
              </w:rPr>
              <w:t>Engineering Method &amp; Acceptance Gate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REQ-01</w:t>
            </w:r>
          </w:p>
        </w:tc>
        <w:tc>
          <w:tcPr>
            <w:tcW w:type="dxa" w:w="2520"/>
          </w:tcPr>
          <w:p>
            <w:r>
              <w:t>GoldenGate Classic Architecture (`ggsci` + Collector)</w:t>
            </w:r>
          </w:p>
        </w:tc>
        <w:tc>
          <w:tcPr>
            <w:tcW w:type="dxa" w:w="2520"/>
          </w:tcPr>
          <w:p>
            <w:r>
              <w:t>GoldenGate 23ai Microservices + OCI Managed GoldenGate</w:t>
            </w:r>
          </w:p>
        </w:tc>
        <w:tc>
          <w:tcPr>
            <w:tcW w:type="dxa" w:w="2520"/>
          </w:tcPr>
          <w:p>
            <w:r>
              <w:t>REST-API Automation &amp; Trail File Migration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REQ-02</w:t>
            </w:r>
          </w:p>
        </w:tc>
        <w:tc>
          <w:tcPr>
            <w:tcW w:type="dxa" w:w="2520"/>
          </w:tcPr>
          <w:p>
            <w:r>
              <w:t>Multi-Hour Data Pump (`expdp`/`impdp`) Outages</w:t>
            </w:r>
          </w:p>
        </w:tc>
        <w:tc>
          <w:tcPr>
            <w:tcW w:type="dxa" w:w="2520"/>
          </w:tcPr>
          <w:p>
            <w:r>
              <w:t>Online Initial Instantiation (`SCN`-locked) + CDC Catchup</w:t>
            </w:r>
          </w:p>
        </w:tc>
        <w:tc>
          <w:tcPr>
            <w:tcW w:type="dxa" w:w="2520"/>
          </w:tcPr>
          <w:p>
            <w:r>
              <w:t>Zero-Outage Cutover Switchover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REQ-03</w:t>
            </w:r>
          </w:p>
        </w:tc>
        <w:tc>
          <w:tcPr>
            <w:tcW w:type="dxa" w:w="2520"/>
          </w:tcPr>
          <w:p>
            <w:r>
              <w:t>One-Way Blind Cutover Risk</w:t>
            </w:r>
          </w:p>
        </w:tc>
        <w:tc>
          <w:tcPr>
            <w:tcW w:type="dxa" w:w="2520"/>
          </w:tcPr>
          <w:p>
            <w:r>
              <w:t>Bi-Directional Reverse Fallback Replication</w:t>
            </w:r>
          </w:p>
        </w:tc>
        <w:tc>
          <w:tcPr>
            <w:tcW w:type="dxa" w:w="2520"/>
          </w:tcPr>
          <w:p>
            <w:r>
              <w:t>Conflict Detection &amp; Resolution (CDR) Rules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REQ-04</w:t>
            </w:r>
          </w:p>
        </w:tc>
        <w:tc>
          <w:tcPr>
            <w:tcW w:type="dxa" w:w="2520"/>
          </w:tcPr>
          <w:p>
            <w:r>
              <w:t>High-Cost Reporting / Standby Sync Licenses</w:t>
            </w:r>
          </w:p>
        </w:tc>
        <w:tc>
          <w:tcPr>
            <w:tcW w:type="dxa" w:w="2520"/>
          </w:tcPr>
          <w:p>
            <w:r>
              <w:t>Quest SharePlex or GoldenGate CPU Right-Sizing</w:t>
            </w:r>
          </w:p>
        </w:tc>
        <w:tc>
          <w:tcPr>
            <w:tcW w:type="dxa" w:w="2520"/>
          </w:tcPr>
          <w:p>
            <w:r>
              <w:t>Log-Based Redo Parsing Optimization</w:t>
            </w:r>
          </w:p>
        </w:tc>
      </w:tr>
    </w:tbl>
    <w:p>
      <w:pPr>
        <w:pStyle w:val="Heading2"/>
      </w:pPr>
      <w:r>
        <w:rPr>
          <w:color w:val="B85C28"/>
        </w:rPr>
        <w:t>Section 4: Vendor Technical Q&amp;A Questionnaire &amp; Evaluation Rubric</w:t>
      </w:r>
    </w:p>
    <w:p>
      <w:r>
        <w:t>Bidders must provide direct written responses to each question below. Evaluation committee members can grade vendor responses (0 to 10 points) using the Reference Evaluation Benchmark provided under each question.</w:t>
      </w:r>
    </w:p>
    <w:p>
      <w:r>
        <w:rPr>
          <w:b/>
        </w:rPr>
        <w:t>Vendor Question 1: How do you prevent primary-key or sequence collisions during bi-directional fallback?   [Evaluator Score: ___ / 10]</w:t>
      </w:r>
    </w:p>
    <w:p>
      <w:pPr>
        <w:pStyle w:val="ListBullet"/>
      </w:pPr>
      <w:r>
        <w:rPr>
          <w:b/>
        </w:rPr>
        <w:t xml:space="preserve">Reference Evaluation Benchmark: </w:t>
      </w:r>
      <w:r>
        <w:t>We configure odd/even or staggered sequence intervals (`INCREMENT BY 2`), UTC timestamp conflict detection and resolution (CDR), and automated Oracle Net Application Continuity draining during the 60-second cutover window.</w:t>
      </w:r>
    </w:p>
    <w:p>
      <w:pPr>
        <w:pStyle w:val="ListBullet"/>
      </w:pPr>
      <w:r>
        <w:rPr>
          <w:b/>
        </w:rPr>
        <w:t xml:space="preserve">Vendor Written Response: </w:t>
      </w:r>
      <w:r>
        <w:t>[Bidder to insert concrete technical architecture and verifiable production proof here]</w:t>
      </w:r>
    </w:p>
    <w:p>
      <w:r>
        <w:rPr>
          <w:b/>
        </w:rPr>
        <w:t>Vendor Question 2: When should we choose Quest SharePlex vs. Oracle GoldenGate?   [Evaluator Score: ___ / 10]</w:t>
      </w:r>
    </w:p>
    <w:p>
      <w:pPr>
        <w:pStyle w:val="ListBullet"/>
      </w:pPr>
      <w:r>
        <w:rPr>
          <w:b/>
        </w:rPr>
        <w:t xml:space="preserve">Reference Evaluation Benchmark: </w:t>
      </w:r>
      <w:r>
        <w:t>Oracle GoldenGate 23ai is ideal for heterogeneous cloud hubs, OCI native integration, and complex microservices meshes. Quest SharePlex is often the highest-ROI choice for straightforward Oracle-to-Oracle or Oracle-to-Postgres HA/reporting pipelines where license cost reduction is the primary driver.</w:t>
      </w:r>
    </w:p>
    <w:p>
      <w:pPr>
        <w:pStyle w:val="ListBullet"/>
      </w:pPr>
      <w:r>
        <w:rPr>
          <w:b/>
        </w:rPr>
        <w:t xml:space="preserve">Vendor Written Response: </w:t>
      </w:r>
      <w:r>
        <w:t>[Bidder to insert concrete technical architecture and verifiable production proof here]</w:t>
      </w:r>
    </w:p>
    <w:p>
      <w:r>
        <w:rPr>
          <w:b/>
        </w:rPr>
        <w:t>Vendor Question 3: What is included in the downloadable PDF Solution Brief?   [Evaluator Score: ___ / 10]</w:t>
      </w:r>
    </w:p>
    <w:p>
      <w:pPr>
        <w:pStyle w:val="ListBullet"/>
      </w:pPr>
      <w:r>
        <w:rPr>
          <w:b/>
        </w:rPr>
        <w:t xml:space="preserve">Reference Evaluation Benchmark: </w:t>
      </w:r>
      <w:r>
        <w:t>The PDF Solution Brief includes the Zero-Downtime SCN Instantiation &amp; Reverse-Fallback Runbook, the GoldenGate Classic-to-Microservices migration checklist, and a GoldenGate vs. SharePlex TCO comparison matrix.</w:t>
      </w:r>
    </w:p>
    <w:p>
      <w:pPr>
        <w:pStyle w:val="ListBullet"/>
      </w:pPr>
      <w:r>
        <w:rPr>
          <w:b/>
        </w:rPr>
        <w:t xml:space="preserve">Vendor Written Response: </w:t>
      </w:r>
      <w:r>
        <w:t>[Bidder to insert concrete technical architecture and verifiable production proof here]</w:t>
      </w:r>
    </w:p>
    <w:p>
      <w:r>
        <w:rPr>
          <w:b/>
        </w:rPr>
        <w:t>Vendor Question 4: How do you prevent report and query fan-out bloat, and how do you guarantee 100% customer code ownership?   [Evaluator Score: ___ / 10]</w:t>
      </w:r>
    </w:p>
    <w:p>
      <w:pPr>
        <w:pStyle w:val="ListBullet"/>
      </w:pPr>
      <w:r>
        <w:rPr>
          <w:b/>
        </w:rPr>
        <w:t xml:space="preserve">Reference Evaluation Benchmark: </w:t>
      </w:r>
      <w:r>
        <w:t>Vendor must demonstrate AST SQL clustering (collapsing 75%-90% of cloned queries into core database views with runtime predicates) and confirm 100% customer ownership of all DDL, PL/SQL, APEX, and cloud source code with zero proprietary runtime lock-in.</w:t>
      </w:r>
    </w:p>
    <w:p>
      <w:pPr>
        <w:pStyle w:val="ListBullet"/>
      </w:pPr>
      <w:r>
        <w:rPr>
          <w:b/>
        </w:rPr>
        <w:t xml:space="preserve">Vendor Written Response: </w:t>
      </w:r>
      <w:r>
        <w:t>[Bidder to insert concrete technical architecture and verifiable production proof here]</w:t>
      </w:r>
    </w:p>
    <w:p>
      <w:r>
        <w:rPr>
          <w:b/>
        </w:rPr>
        <w:t>Vendor Question 5: Describe your automated regression testing, data parity verification, and zero-downtime cutover methodology.   [Evaluator Score: ___ / 10]</w:t>
      </w:r>
    </w:p>
    <w:p>
      <w:pPr>
        <w:pStyle w:val="ListBullet"/>
      </w:pPr>
      <w:r>
        <w:rPr>
          <w:b/>
        </w:rPr>
        <w:t xml:space="preserve">Reference Evaluation Benchmark: </w:t>
      </w:r>
      <w:r>
        <w:t>Vendor must provide automated row-count and cryptographic hash reconciliation, automated unit/UI test suites (utPLSQL, Playwright), and a rehearsed cutover runbook with sub-minute rollback capability.</w:t>
      </w:r>
    </w:p>
    <w:p>
      <w:pPr>
        <w:pStyle w:val="ListBullet"/>
      </w:pPr>
      <w:r>
        <w:rPr>
          <w:b/>
        </w:rPr>
        <w:t xml:space="preserve">Vendor Written Response: </w:t>
      </w:r>
      <w:r>
        <w:t>[Bidder to insert concrete technical architecture and verifiable production proof here]</w:t>
      </w:r>
    </w:p>
    <w:p>
      <w:pPr>
        <w:pStyle w:val="Heading2"/>
      </w:pPr>
      <w:r>
        <w:rPr>
          <w:color w:val="B85C28"/>
        </w:rPr>
        <w:t>Section 5: Commercial Milestone Pricing &amp; Evaluation Scorecard (Editable)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c>
          <w:tcPr>
            <w:tcW w:type="dxa" w:w="2520"/>
            <w:shd w:val="clear" w:color="auto" w:fill="2D2218"/>
          </w:tcPr>
          <w:p>
            <w:r>
              <w:rPr>
                <w:b/>
                <w:color w:val="FFFFFF"/>
                <w:sz w:val="19"/>
              </w:rPr>
              <w:t>Milestone / Phase</w:t>
            </w:r>
          </w:p>
        </w:tc>
        <w:tc>
          <w:tcPr>
            <w:tcW w:type="dxa" w:w="2520"/>
            <w:shd w:val="clear" w:color="auto" w:fill="2D2218"/>
          </w:tcPr>
          <w:p>
            <w:r>
              <w:rPr>
                <w:b/>
                <w:color w:val="FFFFFF"/>
                <w:sz w:val="19"/>
              </w:rPr>
              <w:t>Deliverable &amp; Acceptance Gate</w:t>
            </w:r>
          </w:p>
        </w:tc>
        <w:tc>
          <w:tcPr>
            <w:tcW w:type="dxa" w:w="2520"/>
            <w:shd w:val="clear" w:color="auto" w:fill="2D2218"/>
          </w:tcPr>
          <w:p>
            <w:r>
              <w:rPr>
                <w:b/>
                <w:color w:val="FFFFFF"/>
                <w:sz w:val="19"/>
              </w:rPr>
              <w:t>Fixed Fee (USD)</w:t>
            </w:r>
          </w:p>
        </w:tc>
        <w:tc>
          <w:tcPr>
            <w:tcW w:type="dxa" w:w="2520"/>
            <w:shd w:val="clear" w:color="auto" w:fill="2D2218"/>
          </w:tcPr>
          <w:p>
            <w:r>
              <w:rPr>
                <w:b/>
                <w:color w:val="FFFFFF"/>
                <w:sz w:val="19"/>
              </w:rPr>
              <w:t>Estimated Weeks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Phase 0: Discovery &amp; AST X-Ray</w:t>
            </w:r>
          </w:p>
        </w:tc>
        <w:tc>
          <w:tcPr>
            <w:tcW w:type="dxa" w:w="2520"/>
          </w:tcPr>
          <w:p>
            <w:r>
              <w:t>Verified inventory, dead-code manifest, core SQL fan-out map &amp; blueprint</w:t>
            </w:r>
          </w:p>
        </w:tc>
        <w:tc>
          <w:tcPr>
            <w:tcW w:type="dxa" w:w="2520"/>
          </w:tcPr>
          <w:p>
            <w:r>
              <w:t>$ [Insert]</w:t>
            </w:r>
          </w:p>
        </w:tc>
        <w:tc>
          <w:tcPr>
            <w:tcW w:type="dxa" w:w="2520"/>
          </w:tcPr>
          <w:p>
            <w:r>
              <w:t>[2 - 3 Weeks]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Phase 1: Core Schema &amp; Logic Uplift</w:t>
            </w:r>
          </w:p>
        </w:tc>
        <w:tc>
          <w:tcPr>
            <w:tcW w:type="dxa" w:w="2520"/>
          </w:tcPr>
          <w:p>
            <w:r>
              <w:t>Provisioned target stack, schema migration &amp; automated logic conversion</w:t>
            </w:r>
          </w:p>
        </w:tc>
        <w:tc>
          <w:tcPr>
            <w:tcW w:type="dxa" w:w="2520"/>
          </w:tcPr>
          <w:p>
            <w:r>
              <w:t>$ [Insert]</w:t>
            </w:r>
          </w:p>
        </w:tc>
        <w:tc>
          <w:tcPr>
            <w:tcW w:type="dxa" w:w="2520"/>
          </w:tcPr>
          <w:p>
            <w:r>
              <w:t>[4 - 8 Weeks]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Phase 2: UI, Reports &amp; UAT</w:t>
            </w:r>
          </w:p>
        </w:tc>
        <w:tc>
          <w:tcPr>
            <w:tcW w:type="dxa" w:w="2520"/>
          </w:tcPr>
          <w:p>
            <w:r>
              <w:t>Modernized portals/screens, runtime reports, AOP templates &amp; UAT sign-off</w:t>
            </w:r>
          </w:p>
        </w:tc>
        <w:tc>
          <w:tcPr>
            <w:tcW w:type="dxa" w:w="2520"/>
          </w:tcPr>
          <w:p>
            <w:r>
              <w:t>$ [Insert]</w:t>
            </w:r>
          </w:p>
        </w:tc>
        <w:tc>
          <w:tcPr>
            <w:tcW w:type="dxa" w:w="2520"/>
          </w:tcPr>
          <w:p>
            <w:r>
              <w:t>[3 - 6 Weeks]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Phase 3: Cutover &amp; Hypercare</w:t>
            </w:r>
          </w:p>
        </w:tc>
        <w:tc>
          <w:tcPr>
            <w:tcW w:type="dxa" w:w="2520"/>
          </w:tcPr>
          <w:p>
            <w:r>
              <w:t>Rehearsed cutover, reconciliation sign-off &amp; 30-day production hypercare</w:t>
            </w:r>
          </w:p>
        </w:tc>
        <w:tc>
          <w:tcPr>
            <w:tcW w:type="dxa" w:w="2520"/>
          </w:tcPr>
          <w:p>
            <w:r>
              <w:t>$ [Insert]</w:t>
            </w:r>
          </w:p>
        </w:tc>
        <w:tc>
          <w:tcPr>
            <w:tcW w:type="dxa" w:w="2520"/>
          </w:tcPr>
          <w:p>
            <w:r>
              <w:t>[2 - 3 Weeks]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Optional: Annual Managed Support</w:t>
            </w:r>
          </w:p>
        </w:tc>
        <w:tc>
          <w:tcPr>
            <w:tcW w:type="dxa" w:w="2520"/>
          </w:tcPr>
          <w:p>
            <w:r>
              <w:t>24x7 monitoring, patching, DBA tuning &amp; quarterly enhancements</w:t>
            </w:r>
          </w:p>
        </w:tc>
        <w:tc>
          <w:tcPr>
            <w:tcW w:type="dxa" w:w="2520"/>
          </w:tcPr>
          <w:p>
            <w:r>
              <w:t>$ [Insert/yr]</w:t>
            </w:r>
          </w:p>
        </w:tc>
        <w:tc>
          <w:tcPr>
            <w:tcW w:type="dxa" w:w="2520"/>
          </w:tcPr>
          <w:p>
            <w:r>
              <w:t>[12 Months]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This site is designed by Viscosity.AI  |  Editable Microsoft Word (.docx) RFP Template (VNA-RFP-013)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MODIFIABLE RFP TEMPLATE &amp; VENDOR Q&amp;A  |  VNA-RFP-013  |  https://oracle-goldengate-zero-downtime.web.app/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sz w:val="17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sz w:val="17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